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995FDD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32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14 653,4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 xml:space="preserve">1 </w:t>
      </w:r>
      <w:r w:rsidR="00C27D82">
        <w:rPr>
          <w:rFonts w:ascii="Times New Roman" w:hAnsi="Times New Roman"/>
          <w:sz w:val="24"/>
          <w:szCs w:val="24"/>
        </w:rPr>
        <w:t>651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652F8F">
        <w:rPr>
          <w:rFonts w:ascii="Times New Roman" w:hAnsi="Times New Roman"/>
          <w:sz w:val="24"/>
          <w:szCs w:val="24"/>
        </w:rPr>
        <w:t>13 002,4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14 653,4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606" w:rsidRPr="006741CA" w:rsidRDefault="00A176BC" w:rsidP="006A60C7">
      <w:pPr>
        <w:keepNext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назначение, остатка неиспользованного муниципального дорожного фонда, в объеме до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lastRenderedPageBreak/>
        <w:t>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4511" w:rsidRPr="006741CA" w:rsidRDefault="006A60C7" w:rsidP="006A60C7">
      <w:pPr>
        <w:autoSpaceDE w:val="0"/>
        <w:autoSpaceDN w:val="0"/>
        <w:adjustRightInd w:val="0"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234D51">
        <w:rPr>
          <w:rFonts w:ascii="Times New Roman" w:hAnsi="Times New Roman"/>
          <w:sz w:val="24"/>
          <w:szCs w:val="24"/>
        </w:rPr>
        <w:t>2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 w:rsidR="0098424E">
        <w:rPr>
          <w:rFonts w:ascii="Times New Roman" w:hAnsi="Times New Roman"/>
          <w:sz w:val="24"/>
          <w:szCs w:val="24"/>
        </w:rPr>
        <w:t>и плановом периоде 202</w:t>
      </w:r>
      <w:r w:rsidR="00234D51">
        <w:rPr>
          <w:rFonts w:ascii="Times New Roman" w:hAnsi="Times New Roman"/>
          <w:sz w:val="24"/>
          <w:szCs w:val="24"/>
        </w:rPr>
        <w:t>3</w:t>
      </w:r>
      <w:r w:rsidR="0098424E">
        <w:rPr>
          <w:rFonts w:ascii="Times New Roman" w:hAnsi="Times New Roman"/>
          <w:sz w:val="24"/>
          <w:szCs w:val="24"/>
        </w:rPr>
        <w:t xml:space="preserve"> – 202</w:t>
      </w:r>
      <w:r w:rsidR="00234D51"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8424E"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>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 w:rsidR="000832BA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0C435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662C60" w:rsidRPr="000C02FD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  <w:r w:rsidR="000C435E"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на </w:t>
      </w:r>
      <w:r w:rsidR="000832BA"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 w:rsidR="000832B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92C3F">
        <w:rPr>
          <w:rFonts w:ascii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 w:rsidR="00292C3F">
        <w:rPr>
          <w:rFonts w:ascii="Times New Roman" w:hAnsi="Times New Roman"/>
          <w:sz w:val="24"/>
          <w:szCs w:val="24"/>
          <w:lang w:eastAsia="ru-RU"/>
        </w:rPr>
        <w:t>-202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>
        <w:rPr>
          <w:rFonts w:ascii="Times New Roman" w:hAnsi="Times New Roman"/>
          <w:sz w:val="24"/>
          <w:szCs w:val="24"/>
        </w:rPr>
        <w:t>на 202</w:t>
      </w:r>
      <w:r w:rsidR="00234D51">
        <w:rPr>
          <w:rFonts w:ascii="Times New Roman" w:hAnsi="Times New Roman"/>
          <w:sz w:val="24"/>
          <w:szCs w:val="24"/>
        </w:rPr>
        <w:t>2</w:t>
      </w:r>
      <w:r w:rsidR="009F486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9F4866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9F4866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52F8F">
        <w:rPr>
          <w:rFonts w:ascii="Times New Roman" w:hAnsi="Times New Roman"/>
          <w:sz w:val="24"/>
          <w:szCs w:val="24"/>
          <w:lang w:eastAsia="ru-RU"/>
        </w:rPr>
        <w:t>3 </w:t>
      </w:r>
      <w:r w:rsidR="00C27D82">
        <w:rPr>
          <w:rFonts w:ascii="Times New Roman" w:hAnsi="Times New Roman"/>
          <w:sz w:val="24"/>
          <w:szCs w:val="24"/>
          <w:lang w:eastAsia="ru-RU"/>
        </w:rPr>
        <w:t>466</w:t>
      </w:r>
      <w:r w:rsidR="00652F8F">
        <w:rPr>
          <w:rFonts w:ascii="Times New Roman" w:hAnsi="Times New Roman"/>
          <w:sz w:val="24"/>
          <w:szCs w:val="24"/>
          <w:lang w:eastAsia="ru-RU"/>
        </w:rPr>
        <w:t>,6</w:t>
      </w:r>
      <w:r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0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2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1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</w:t>
      </w:r>
      <w:r w:rsidR="00AF5E9B">
        <w:rPr>
          <w:rFonts w:ascii="Times New Roman" w:hAnsi="Times New Roman"/>
          <w:sz w:val="24"/>
          <w:szCs w:val="24"/>
          <w:lang w:eastAsia="ru-RU"/>
        </w:rPr>
        <w:t xml:space="preserve">внутреннего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09753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Утвердить 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CA747E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CA747E">
        <w:rPr>
          <w:rFonts w:ascii="Times New Roman" w:hAnsi="Times New Roman"/>
          <w:sz w:val="24"/>
          <w:szCs w:val="24"/>
        </w:rPr>
        <w:t xml:space="preserve">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0E3599" w:rsidRPr="00353D0A">
        <w:rPr>
          <w:rFonts w:ascii="Times New Roman" w:hAnsi="Times New Roman"/>
          <w:sz w:val="24"/>
          <w:szCs w:val="24"/>
          <w:lang w:eastAsia="ru-RU"/>
        </w:rPr>
        <w:t>0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35AE5" w:rsidRPr="006741CA" w:rsidRDefault="00924B1B" w:rsidP="006A60C7">
      <w:pPr>
        <w:spacing w:after="0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3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>
        <w:rPr>
          <w:rFonts w:ascii="Times New Roman" w:hAnsi="Times New Roman"/>
          <w:sz w:val="24"/>
          <w:szCs w:val="24"/>
        </w:rPr>
        <w:t>У</w:t>
      </w:r>
      <w:r w:rsidR="00662C60" w:rsidRPr="00662C60">
        <w:rPr>
          <w:rFonts w:ascii="Times New Roman" w:hAnsi="Times New Roman"/>
          <w:sz w:val="24"/>
          <w:szCs w:val="24"/>
        </w:rPr>
        <w:t xml:space="preserve">становить резервный фонд Администрации 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234D51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234D51">
        <w:rPr>
          <w:rFonts w:ascii="Times New Roman" w:hAnsi="Times New Roman"/>
          <w:sz w:val="24"/>
          <w:szCs w:val="24"/>
        </w:rPr>
        <w:t>на плановый период 2023</w:t>
      </w:r>
      <w:r w:rsidR="00662C60" w:rsidRPr="00662C60">
        <w:rPr>
          <w:rFonts w:ascii="Times New Roman" w:hAnsi="Times New Roman"/>
          <w:sz w:val="24"/>
          <w:szCs w:val="24"/>
        </w:rPr>
        <w:t xml:space="preserve"> и 202</w:t>
      </w:r>
      <w:r w:rsidR="00234D51">
        <w:rPr>
          <w:rFonts w:ascii="Times New Roman" w:hAnsi="Times New Roman"/>
          <w:sz w:val="24"/>
          <w:szCs w:val="24"/>
        </w:rPr>
        <w:t>4</w:t>
      </w:r>
      <w:r w:rsidR="00662C60" w:rsidRPr="00662C60">
        <w:rPr>
          <w:rFonts w:ascii="Times New Roman" w:hAnsi="Times New Roman"/>
          <w:sz w:val="24"/>
          <w:szCs w:val="24"/>
        </w:rPr>
        <w:t xml:space="preserve"> годов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 в размере 26 тыс. рублей  ежегодн</w:t>
      </w:r>
      <w:r w:rsidR="00662C60">
        <w:rPr>
          <w:rStyle w:val="ac"/>
          <w:rFonts w:ascii="Times New Roman" w:hAnsi="Times New Roman"/>
          <w:b w:val="0"/>
          <w:sz w:val="24"/>
          <w:szCs w:val="24"/>
        </w:rPr>
        <w:t>о</w:t>
      </w:r>
      <w:r w:rsidRPr="00662C6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1847" w:rsidRDefault="00353D0A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4410" w:rsidRPr="00ED4410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 w:rsidR="00ED4410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ED4410" w:rsidRPr="00ED4410">
        <w:rPr>
          <w:rFonts w:ascii="Times New Roman" w:hAnsi="Times New Roman"/>
          <w:sz w:val="24"/>
          <w:szCs w:val="24"/>
        </w:rPr>
        <w:t xml:space="preserve"> по состоянию на 1 января 202</w:t>
      </w:r>
      <w:r w:rsidR="00234D51">
        <w:rPr>
          <w:rFonts w:ascii="Times New Roman" w:hAnsi="Times New Roman"/>
          <w:sz w:val="24"/>
          <w:szCs w:val="24"/>
        </w:rPr>
        <w:t>3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на 1 января 202</w:t>
      </w:r>
      <w:r w:rsidR="00234D51">
        <w:rPr>
          <w:rFonts w:ascii="Times New Roman" w:hAnsi="Times New Roman"/>
          <w:sz w:val="24"/>
          <w:szCs w:val="24"/>
        </w:rPr>
        <w:t>4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и на 1 января 202</w:t>
      </w:r>
      <w:r w:rsidR="00234D51">
        <w:rPr>
          <w:rFonts w:ascii="Times New Roman" w:hAnsi="Times New Roman"/>
          <w:sz w:val="24"/>
          <w:szCs w:val="24"/>
        </w:rPr>
        <w:t>5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рублей, в том </w:t>
      </w:r>
      <w:r w:rsidR="00ED4410" w:rsidRPr="00ED4410">
        <w:rPr>
          <w:rFonts w:ascii="Times New Roman" w:hAnsi="Times New Roman"/>
          <w:sz w:val="24"/>
          <w:szCs w:val="24"/>
        </w:rPr>
        <w:lastRenderedPageBreak/>
        <w:t xml:space="preserve">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656136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656136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60C7">
        <w:rPr>
          <w:rFonts w:ascii="Times New Roman" w:hAnsi="Times New Roman"/>
          <w:sz w:val="24"/>
          <w:szCs w:val="24"/>
        </w:rPr>
        <w:t>6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FB7D0A">
        <w:rPr>
          <w:rFonts w:ascii="Times New Roman" w:hAnsi="Times New Roman"/>
          <w:sz w:val="24"/>
          <w:szCs w:val="24"/>
        </w:rPr>
        <w:t>2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</w:t>
      </w:r>
      <w:r w:rsidR="00FB7D0A">
        <w:rPr>
          <w:rFonts w:ascii="Times New Roman" w:hAnsi="Times New Roman"/>
          <w:sz w:val="24"/>
          <w:szCs w:val="24"/>
        </w:rPr>
        <w:t>3</w:t>
      </w:r>
      <w:r w:rsidR="003B1847" w:rsidRPr="003B1847">
        <w:rPr>
          <w:rFonts w:ascii="Times New Roman" w:hAnsi="Times New Roman"/>
          <w:sz w:val="24"/>
          <w:szCs w:val="24"/>
        </w:rPr>
        <w:t xml:space="preserve"> -202</w:t>
      </w:r>
      <w:r w:rsidR="00FB7D0A">
        <w:rPr>
          <w:rFonts w:ascii="Times New Roman" w:hAnsi="Times New Roman"/>
          <w:sz w:val="24"/>
          <w:szCs w:val="24"/>
        </w:rPr>
        <w:t>4</w:t>
      </w:r>
      <w:r w:rsidR="003B1847" w:rsidRPr="003B1847">
        <w:rPr>
          <w:rFonts w:ascii="Times New Roman" w:hAnsi="Times New Roman"/>
          <w:sz w:val="24"/>
          <w:szCs w:val="24"/>
        </w:rPr>
        <w:t xml:space="preserve">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D135AC" w:rsidRPr="00404FE4" w:rsidRDefault="00353D0A" w:rsidP="006A60C7">
      <w:pPr>
        <w:keepNext/>
        <w:tabs>
          <w:tab w:val="left" w:pos="7240"/>
        </w:tabs>
        <w:spacing w:after="0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353D0A" w:rsidP="006A60C7">
      <w:pPr>
        <w:spacing w:after="0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FB7D0A">
        <w:rPr>
          <w:rFonts w:ascii="Times New Roman" w:hAnsi="Times New Roman"/>
          <w:sz w:val="24"/>
          <w:szCs w:val="24"/>
        </w:rPr>
        <w:t>2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404FE4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543D"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</w:rPr>
        <w:t xml:space="preserve"> 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FB7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8750B9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A80B8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651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4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A5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524,0</w:t>
            </w:r>
          </w:p>
        </w:tc>
      </w:tr>
      <w:tr w:rsidR="00A80B8E" w:rsidRPr="00A80B8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C2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C2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B8E" w:rsidRPr="00A80B8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C27D82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A80B8E" w:rsidRPr="00A80B8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C2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2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C2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2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2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5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156582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80B8E" w:rsidRPr="00A80B8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750B9" w:rsidRPr="00A80B8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A80B8E" w:rsidRDefault="008750B9" w:rsidP="00A80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Pr="00C406BF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06BF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1 17 15000 00 0000 000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BF" w:rsidRPr="00C406BF" w:rsidRDefault="00C406BF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B8E" w:rsidRPr="005C2158" w:rsidTr="008750B9">
        <w:tblPrEx>
          <w:tblLook w:val="000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blPrEx>
          <w:tblLook w:val="000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blPrEx>
          <w:tblLook w:val="000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13 002,4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13 002,4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193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596613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7 550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7 540,2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4 988,1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5C62" w:rsidRDefault="000044E2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95C62" w:rsidRDefault="00695C62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5C62" w:rsidRDefault="00695C62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</w:tr>
      <w:tr w:rsidR="000044E2" w:rsidRPr="000044E2" w:rsidTr="000044E2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из бюджета поселения бюджету района в соответствии с заключенным соглашением № 6 </w:t>
            </w:r>
            <w:r w:rsidR="0015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4A51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22F7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2019-2021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2019-2021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752,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00041E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14 579,4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490,</w:t>
            </w:r>
            <w:r w:rsidR="00794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</w:t>
            </w:r>
            <w:r w:rsidR="00000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466,6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752,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C60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C60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>
        <w:rPr>
          <w:rFonts w:ascii="Times New Roman" w:hAnsi="Times New Roman"/>
          <w:b/>
          <w:sz w:val="24"/>
          <w:szCs w:val="24"/>
        </w:rPr>
        <w:t>7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C60E3C">
        <w:rPr>
          <w:rFonts w:ascii="Times New Roman" w:hAnsi="Times New Roman"/>
          <w:sz w:val="24"/>
          <w:szCs w:val="24"/>
        </w:rPr>
        <w:t xml:space="preserve">3 </w:t>
      </w:r>
      <w:r w:rsidRPr="00717BF3">
        <w:rPr>
          <w:rFonts w:ascii="Times New Roman" w:hAnsi="Times New Roman"/>
          <w:sz w:val="24"/>
          <w:szCs w:val="24"/>
        </w:rPr>
        <w:t>-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995FDD"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 w:rsidR="00C60E3C"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995FDD">
        <w:rPr>
          <w:rFonts w:ascii="Times New Roman" w:hAnsi="Times New Roman"/>
          <w:sz w:val="24"/>
          <w:szCs w:val="24"/>
        </w:rPr>
        <w:t>32</w:t>
      </w:r>
    </w:p>
    <w:p w:rsidR="00717BF3" w:rsidRPr="00717BF3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717BF3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C60E3C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C60E3C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C60E3C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–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17B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5"/>
        <w:gridCol w:w="1356"/>
        <w:gridCol w:w="1091"/>
        <w:gridCol w:w="1153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0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C60E3C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</w:t>
      </w:r>
      <w:r w:rsidR="00C60E3C">
        <w:rPr>
          <w:rFonts w:ascii="Times New Roman" w:hAnsi="Times New Roman"/>
          <w:b/>
          <w:sz w:val="24"/>
          <w:szCs w:val="24"/>
        </w:rPr>
        <w:t>3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C60E3C">
        <w:rPr>
          <w:rFonts w:ascii="Times New Roman" w:hAnsi="Times New Roman"/>
          <w:b/>
          <w:sz w:val="24"/>
          <w:szCs w:val="24"/>
        </w:rPr>
        <w:t>4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- 202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717BF3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Default="00717BF3" w:rsidP="00717BF3">
            <w:pPr>
              <w:pStyle w:val="a6"/>
              <w:jc w:val="center"/>
            </w:pPr>
            <w:r w:rsidRPr="00717BF3">
              <w:t xml:space="preserve">№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Размер обеспечения регрессного требования на 202</w:t>
            </w:r>
            <w:r w:rsidR="00C60E3C">
              <w:t>2</w:t>
            </w:r>
            <w:r w:rsidRPr="00717BF3">
              <w:t xml:space="preserve"> год, 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тыс. рублей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717BF3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2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3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4</w:t>
            </w:r>
            <w:r w:rsidRPr="00717BF3">
              <w:t xml:space="preserve">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</w:tr>
      <w:tr w:rsidR="00717BF3" w:rsidRPr="00717BF3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</w:pPr>
            <w:r w:rsidRPr="00717BF3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4958"/>
        <w:gridCol w:w="1701"/>
        <w:gridCol w:w="1563"/>
        <w:gridCol w:w="1843"/>
      </w:tblGrid>
      <w:tr w:rsidR="00717BF3" w:rsidRPr="00717BF3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2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3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4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8359D2">
            <w:pPr>
              <w:pStyle w:val="a6"/>
              <w:rPr>
                <w:b/>
              </w:rPr>
            </w:pPr>
            <w:r w:rsidRPr="00717BF3">
              <w:t xml:space="preserve">за счет источников </w:t>
            </w:r>
            <w:r w:rsidR="008359D2">
              <w:t xml:space="preserve">внутреннего </w:t>
            </w:r>
            <w:r w:rsidRPr="00717BF3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</w:tr>
      <w:tr w:rsidR="00717BF3" w:rsidRPr="00717BF3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</w:pPr>
            <w:r>
              <w:rPr>
                <w:b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353D0A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353D0A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 w:rsidR="00353D0A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995FDD"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 w:rsidR="00353D0A"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995FDD">
        <w:rPr>
          <w:rFonts w:ascii="Times New Roman" w:hAnsi="Times New Roman"/>
          <w:sz w:val="24"/>
          <w:szCs w:val="24"/>
        </w:rPr>
        <w:t>32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353D0A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353D0A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353D0A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2"/>
        <w:gridCol w:w="993"/>
        <w:gridCol w:w="849"/>
      </w:tblGrid>
      <w:tr w:rsidR="00717BF3" w:rsidRPr="00717BF3" w:rsidTr="0066754A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2924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66754A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17BF3" w:rsidRPr="00717BF3" w:rsidRDefault="00717BF3" w:rsidP="0035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4B" w:rsidRDefault="00BB394B" w:rsidP="00F81223">
      <w:pPr>
        <w:spacing w:after="0" w:line="240" w:lineRule="auto"/>
      </w:pPr>
      <w:r>
        <w:separator/>
      </w:r>
    </w:p>
  </w:endnote>
  <w:endnote w:type="continuationSeparator" w:id="1">
    <w:p w:rsidR="00BB394B" w:rsidRDefault="00BB394B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4B" w:rsidRDefault="00BB394B" w:rsidP="00F81223">
      <w:pPr>
        <w:spacing w:after="0" w:line="240" w:lineRule="auto"/>
      </w:pPr>
      <w:r>
        <w:separator/>
      </w:r>
    </w:p>
  </w:footnote>
  <w:footnote w:type="continuationSeparator" w:id="1">
    <w:p w:rsidR="00BB394B" w:rsidRDefault="00BB394B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2C" w:rsidRDefault="00181F2C">
    <w:pPr>
      <w:pStyle w:val="a9"/>
      <w:jc w:val="center"/>
    </w:pPr>
    <w:fldSimple w:instr="PAGE   \* MERGEFORMAT">
      <w:r w:rsidR="001B79AE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9AE"/>
    <w:rsid w:val="001C32BC"/>
    <w:rsid w:val="001C444D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148DB"/>
    <w:rsid w:val="00714F8B"/>
    <w:rsid w:val="007179B3"/>
    <w:rsid w:val="00717BF3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D4A93"/>
    <w:rsid w:val="007D7107"/>
    <w:rsid w:val="007F0E69"/>
    <w:rsid w:val="007F247D"/>
    <w:rsid w:val="008016C6"/>
    <w:rsid w:val="00810F32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222C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50051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E0802"/>
    <w:rsid w:val="00BE43AF"/>
    <w:rsid w:val="00BF2826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4000"/>
    <w:rsid w:val="00E2253A"/>
    <w:rsid w:val="00E3129C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B27AC"/>
    <w:rsid w:val="00EB7BA6"/>
    <w:rsid w:val="00ED17D6"/>
    <w:rsid w:val="00ED3491"/>
    <w:rsid w:val="00ED4410"/>
    <w:rsid w:val="00EE3643"/>
    <w:rsid w:val="00EE4067"/>
    <w:rsid w:val="00F030B0"/>
    <w:rsid w:val="00F103F7"/>
    <w:rsid w:val="00F12444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B35-2D31-4B0B-954C-EBE9AC8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78</cp:revision>
  <cp:lastPrinted>2021-12-28T09:05:00Z</cp:lastPrinted>
  <dcterms:created xsi:type="dcterms:W3CDTF">2014-10-31T02:30:00Z</dcterms:created>
  <dcterms:modified xsi:type="dcterms:W3CDTF">2022-01-12T07:01:00Z</dcterms:modified>
</cp:coreProperties>
</file>